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23FE03E4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112545" w:rsidRPr="00112545">
        <w:rPr>
          <w:rFonts w:ascii="Times New Roman" w:hAnsi="Times New Roman"/>
          <w:b/>
          <w:sz w:val="24"/>
          <w:szCs w:val="24"/>
          <w:lang w:val="kk-KZ"/>
        </w:rPr>
        <w:t>2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56B224EE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A54EA2" w:rsidRPr="00A54EA2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>207-</w:t>
      </w:r>
      <w:r w:rsidR="00A54EA2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>Шығыстану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7374F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C2CA44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D17CF" w:rsidRPr="00CD17CF">
        <w:rPr>
          <w:rFonts w:ascii="Times New Roman" w:hAnsi="Times New Roman"/>
          <w:b/>
          <w:sz w:val="24"/>
          <w:szCs w:val="24"/>
          <w:lang w:val="kk-KZ"/>
        </w:rPr>
        <w:t>Маулит Б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0EB1A835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</w:t>
      </w:r>
      <w:r w:rsidR="00112545" w:rsidRPr="00112545">
        <w:rPr>
          <w:rFonts w:ascii="Times New Roman" w:hAnsi="Times New Roman"/>
          <w:b/>
          <w:sz w:val="24"/>
          <w:szCs w:val="24"/>
          <w:lang w:val="kk-KZ"/>
        </w:rPr>
        <w:t>6</w:t>
      </w:r>
    </w:p>
    <w:p w14:paraId="0FAFEF24" w14:textId="77777777" w:rsidR="00112545" w:rsidRDefault="00112545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41A0C6F" w14:textId="77777777" w:rsidR="00112545" w:rsidRDefault="00112545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B10A57B" w14:textId="77777777" w:rsidR="00112545" w:rsidRDefault="00112545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34F2A78" w14:textId="77777777" w:rsidR="00112545" w:rsidRPr="00112545" w:rsidRDefault="00112545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F825E36" w14:textId="7A9A61E6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A54EA2" w:rsidRPr="00A54EA2">
        <w:rPr>
          <w:rFonts w:ascii="Times New Roman" w:hAnsi="Times New Roman"/>
          <w:bCs/>
          <w:sz w:val="24"/>
          <w:szCs w:val="24"/>
          <w:lang w:val="kk-KZ"/>
        </w:rPr>
        <w:t>6B02</w:t>
      </w:r>
      <w:r w:rsidR="00A54EA2" w:rsidRPr="00A54EA2">
        <w:rPr>
          <w:rFonts w:ascii="Times New Roman" w:eastAsiaTheme="minorEastAsia" w:hAnsi="Times New Roman"/>
          <w:bCs/>
          <w:sz w:val="24"/>
          <w:szCs w:val="24"/>
          <w:lang w:val="kk-KZ" w:eastAsia="zh-CN"/>
        </w:rPr>
        <w:t>207-Шығыстану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112545" w:rsidRPr="00112545">
        <w:rPr>
          <w:rFonts w:ascii="Times New Roman" w:hAnsi="Times New Roman"/>
          <w:sz w:val="24"/>
          <w:szCs w:val="24"/>
          <w:lang w:val="kk-KZ"/>
        </w:rPr>
        <w:t>2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пәнінен қорытынды емтихан бағдарламасын аға оқытушы</w:t>
      </w:r>
      <w:r w:rsidR="00CD17C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17CF" w:rsidRPr="00CD17CF">
        <w:rPr>
          <w:rFonts w:ascii="Times New Roman" w:hAnsi="Times New Roman"/>
          <w:bCs/>
          <w:sz w:val="24"/>
          <w:szCs w:val="24"/>
          <w:lang w:val="kk-KZ"/>
        </w:rPr>
        <w:t>Маулит Б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6158F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56158F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C2A1572" w14:textId="77777777" w:rsidR="00112545" w:rsidRPr="00496A8C" w:rsidRDefault="00112545" w:rsidP="001125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7585BD48" w14:textId="77777777" w:rsidR="00112545" w:rsidRPr="00496A8C" w:rsidRDefault="00112545" w:rsidP="001125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Pr="00A920C1">
        <w:rPr>
          <w:rFonts w:ascii="Times New Roman" w:hAnsi="Times New Roman"/>
          <w:sz w:val="24"/>
          <w:szCs w:val="24"/>
          <w:u w:val="single"/>
          <w:lang w:val="kk-KZ"/>
        </w:rPr>
        <w:t>12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A920C1">
        <w:rPr>
          <w:rFonts w:ascii="Times New Roman" w:hAnsi="Times New Roman"/>
          <w:sz w:val="24"/>
          <w:szCs w:val="24"/>
          <w:u w:val="single"/>
          <w:lang w:val="kk-KZ"/>
        </w:rPr>
        <w:t>13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Pr="00A920C1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>жыл.</w:t>
      </w:r>
    </w:p>
    <w:p w14:paraId="26BB7190" w14:textId="77777777" w:rsidR="00112545" w:rsidRPr="00496A8C" w:rsidRDefault="00112545" w:rsidP="001125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006547" w14:textId="77777777" w:rsidR="00112545" w:rsidRPr="00064EC1" w:rsidRDefault="00112545" w:rsidP="001125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C1">
        <w:rPr>
          <w:rFonts w:ascii="Times New Roman" w:hAnsi="Times New Roman"/>
          <w:noProof/>
          <w:sz w:val="24"/>
          <w:szCs w:val="24"/>
          <w:lang w:val="kk-KZ"/>
        </w:rPr>
        <w:drawing>
          <wp:inline distT="0" distB="0" distL="0" distR="0" wp14:anchorId="7834DEF4" wp14:editId="1F5A30C7">
            <wp:extent cx="4472940" cy="426720"/>
            <wp:effectExtent l="0" t="0" r="3810" b="0"/>
            <wp:docPr id="17548779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9FE9B" w14:textId="77777777" w:rsidR="00112545" w:rsidRPr="00496A8C" w:rsidRDefault="00112545" w:rsidP="001125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DE9416D" w14:textId="77777777" w:rsidR="00112545" w:rsidRPr="00064EC1" w:rsidRDefault="00112545" w:rsidP="001125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Pr="00A920C1">
        <w:rPr>
          <w:rFonts w:ascii="Times New Roman" w:hAnsi="Times New Roman"/>
          <w:sz w:val="24"/>
          <w:szCs w:val="24"/>
          <w:u w:val="single"/>
          <w:lang w:val="kk-KZ"/>
        </w:rPr>
        <w:t xml:space="preserve">6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Pr="00A920C1">
        <w:rPr>
          <w:rFonts w:ascii="Times New Roman" w:hAnsi="Times New Roman"/>
          <w:sz w:val="24"/>
          <w:szCs w:val="24"/>
          <w:u w:val="single"/>
          <w:lang w:val="kk-KZ"/>
        </w:rPr>
        <w:t>13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>202</w:t>
      </w:r>
      <w:r w:rsidRPr="00A920C1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87FADF1" w14:textId="77777777" w:rsidR="00112545" w:rsidRPr="00064EC1" w:rsidRDefault="00112545" w:rsidP="001125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540CAFE" w14:textId="77777777" w:rsidR="00112545" w:rsidRPr="00496A8C" w:rsidRDefault="00112545" w:rsidP="001125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C1">
        <w:rPr>
          <w:rFonts w:ascii="Times New Roman" w:hAnsi="Times New Roman"/>
          <w:noProof/>
          <w:sz w:val="24"/>
          <w:szCs w:val="24"/>
          <w:lang w:val="kk-KZ"/>
        </w:rPr>
        <w:drawing>
          <wp:inline distT="0" distB="0" distL="0" distR="0" wp14:anchorId="620DF8C4" wp14:editId="4D0D5311">
            <wp:extent cx="4290060" cy="396240"/>
            <wp:effectExtent l="0" t="0" r="0" b="3810"/>
            <wp:docPr id="4945726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6751" w14:textId="77777777" w:rsidR="00112545" w:rsidRPr="00496A8C" w:rsidRDefault="00112545" w:rsidP="001125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A603744" w14:textId="77777777" w:rsidR="00112545" w:rsidRDefault="00112545" w:rsidP="0011254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668C77DD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112545" w:rsidRPr="00112545">
        <w:rPr>
          <w:rFonts w:ascii="Times New Roman" w:hAnsi="Times New Roman"/>
          <w:b/>
          <w:sz w:val="24"/>
          <w:szCs w:val="24"/>
          <w:lang w:val="kk-KZ"/>
        </w:rPr>
        <w:t>2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51C9E0FD" w:rsidR="00881D6A" w:rsidRPr="00B7374F" w:rsidRDefault="00694CB7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112545" w:rsidRPr="00112545">
        <w:rPr>
          <w:rFonts w:ascii="Times New Roman" w:hAnsi="Times New Roman"/>
          <w:b/>
          <w:sz w:val="24"/>
          <w:szCs w:val="24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  <w:r w:rsidR="00AD5C05" w:rsidRPr="00B7374F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B7374F">
        <w:rPr>
          <w:rFonts w:ascii="Times New Roman" w:hAnsi="Times New Roman"/>
          <w:bCs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6B3BC294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112545" w:rsidRPr="00112545">
        <w:rPr>
          <w:rFonts w:ascii="Times New Roman" w:hAnsi="Times New Roman"/>
          <w:b/>
          <w:sz w:val="24"/>
          <w:szCs w:val="24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B7374F" w:rsidRPr="00B7374F">
        <w:rPr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Өз ойын шет тілінде ауызша және жазбаша дұрыс және дәлелді түрде тұжырымдау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52946E0E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A54EA2" w:rsidRPr="00A54EA2">
        <w:rPr>
          <w:rFonts w:ascii="Times New Roman" w:hAnsi="Times New Roman"/>
          <w:bCs/>
          <w:sz w:val="24"/>
          <w:szCs w:val="24"/>
          <w:lang w:val="kk-KZ"/>
        </w:rPr>
        <w:t>6B02</w:t>
      </w:r>
      <w:r w:rsidR="00A54EA2" w:rsidRPr="00A54EA2">
        <w:rPr>
          <w:rFonts w:ascii="Times New Roman" w:eastAsiaTheme="minorEastAsia" w:hAnsi="Times New Roman"/>
          <w:bCs/>
          <w:sz w:val="24"/>
          <w:szCs w:val="24"/>
          <w:lang w:val="kk-KZ" w:eastAsia="zh-CN"/>
        </w:rPr>
        <w:t>207-Шығыстану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>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7374F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3B572317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112545" w:rsidRPr="00112545">
        <w:rPr>
          <w:rFonts w:ascii="Times New Roman" w:hAnsi="Times New Roman"/>
          <w:sz w:val="24"/>
          <w:szCs w:val="24"/>
          <w:lang w:val="kk-KZ"/>
        </w:rPr>
        <w:t>2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6D86A94A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112545" w:rsidRPr="00112545">
        <w:rPr>
          <w:rFonts w:ascii="Times New Roman" w:hAnsi="Times New Roman"/>
          <w:sz w:val="24"/>
          <w:szCs w:val="24"/>
          <w:lang w:val="kk-KZ"/>
        </w:rPr>
        <w:t>2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56158F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112545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85D6253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12545"/>
    <w:rsid w:val="001D2EE7"/>
    <w:rsid w:val="00205B30"/>
    <w:rsid w:val="003A1B03"/>
    <w:rsid w:val="0046232F"/>
    <w:rsid w:val="004B6C1D"/>
    <w:rsid w:val="004D30F9"/>
    <w:rsid w:val="0053555B"/>
    <w:rsid w:val="0056158F"/>
    <w:rsid w:val="00584F76"/>
    <w:rsid w:val="00600FCA"/>
    <w:rsid w:val="00694CB7"/>
    <w:rsid w:val="006B0872"/>
    <w:rsid w:val="008272F2"/>
    <w:rsid w:val="00881D6A"/>
    <w:rsid w:val="008B5ADC"/>
    <w:rsid w:val="0097426B"/>
    <w:rsid w:val="009937C8"/>
    <w:rsid w:val="009E08BE"/>
    <w:rsid w:val="009F15DB"/>
    <w:rsid w:val="00A54EA2"/>
    <w:rsid w:val="00A86047"/>
    <w:rsid w:val="00AC2A14"/>
    <w:rsid w:val="00AD5C05"/>
    <w:rsid w:val="00B64317"/>
    <w:rsid w:val="00B65E3D"/>
    <w:rsid w:val="00B7374F"/>
    <w:rsid w:val="00C610C8"/>
    <w:rsid w:val="00C95C74"/>
    <w:rsid w:val="00CD17CF"/>
    <w:rsid w:val="00D2482D"/>
    <w:rsid w:val="00D72E94"/>
    <w:rsid w:val="00DA5549"/>
    <w:rsid w:val="00DC1A55"/>
    <w:rsid w:val="00DC43B0"/>
    <w:rsid w:val="00F12D68"/>
    <w:rsid w:val="00F6144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Maulit Bakytnur</cp:lastModifiedBy>
  <cp:revision>37</cp:revision>
  <dcterms:created xsi:type="dcterms:W3CDTF">2025-11-01T02:57:00Z</dcterms:created>
  <dcterms:modified xsi:type="dcterms:W3CDTF">2026-02-15T15:53:00Z</dcterms:modified>
</cp:coreProperties>
</file>